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164 vom 1. Mai 1985</w:t>
      </w:r>
    </w:p>
    <w:p>
      <w:r>
        <w:t>Bundesgericht (BGE), 1985-05-01, DE</w:t>
      </w:r>
    </w:p>
    <w:p>
      <w:r>
        <w:rPr>
          <w:b/>
        </w:rPr>
        <w:t xml:space="preserve">Quelle: </w:t>
      </w:r>
      <w:r>
        <w:t>https://mcp.opencaselaw.ch/entscheid/bge_111 IA 164</w:t>
      </w:r>
    </w:p>
    <w:p>
      <w:r>
        <w:t>FR: BGE 111 IA 164 du 1 mai 1985</w:t>
      </w:r>
    </w:p>
    <w:p>
      <w:r>
        <w:t>IT: BGE 111 IA 164 del 1 maggio 1985</w:t>
      </w:r>
    </w:p>
    <w:p>
      <w:pPr>
        <w:pStyle w:val="Heading2"/>
      </w:pPr>
      <w:r>
        <w:t>Regeste</w:t>
      </w:r>
    </w:p>
    <w:p>
      <w:r>
        <w:t>Regeste Art. 4 BV, Art. 4 und 33 RPG; kommunale Zonenplanung; Gehörsanspruch des Grundeigentümers. 1. Wird der Antrag auf Umzonung einer Parzelle erstmals in der Gemeindeversammlung gestellt, kann im Verfahren gemäss Art. 37 des bündnerischen Raumplanungsgesetzes ohne Verletzung des Anspruchs auf rechtliches Gehör auf eine nochmalige Planauflage verzichtet werden, wenn sich der betroffene Grundeigentümer vor der Beschlussfassung an der Versammlung äussern konnte und davon ausgegangen werden kann, dass er sich nicht unvorbereitet mit dem betreffenden Antrag auseinandersetzen musste (E. 2a-c). 2. Die Bestimmungen von Art. 4 Abs. 1 und 2 RPG stehen in erster Linie im Dienste der Sachaufklärung und der Mitwirkung der Bevölkerung an der Planung als politischem Prozess; ein über den Rechtsschutz gemäss Art. 33 und 34 RPG und die unmittelbar aus Art. 4 BV folgenden Minimalgarantien hinausgehender Anspruch lässt sich aus diesen Bestimmungen nicht ableiten (E. 2d).</w:t>
      </w:r>
    </w:p>
    <w:p>
      <w:pPr>
        <w:pStyle w:val="Heading2"/>
      </w:pPr>
      <w:r>
        <w:t>Erwägungen</w:t>
      </w:r>
    </w:p>
    <w:p>
      <w:r>
        <w:rPr>
          <w:b/>
        </w:rPr>
        <w:t>E. 2</w:t>
      </w:r>
    </w:p>
    <w:p>
      <w:r>
        <w:t>Der Beschwerdeführer macht in formeller Hinsicht in erster Linie eine Verletzung des rechtlichen Gehörs geltend. Er führt aus, es habe für ihn kein Anlass bestanden, sich im Rahmen BGE 111 Ia 164 S. 166 des in Art. 37 KRG vorgesehenen Vernehmlassungsverfahrens zu äussern, da die Vorlage des Gemeindevorstandes für sein Grundstück keine Umzonung vorgesehen habe. Indem die Leitung der Gemeindeversammlung die definitive Abstimmung nach dem Umzonungsantrag nicht verschoben habe, um den durch die Planungsmassnahme allenfalls Betroffenen Gelegenheit zur Stellungnahme zu geben, seien die in Art. 4 des Bundesgesetzes über die Raumplanung vom 22. Juni 1979 (RPG) und Art. 37 KRG garantierten Mitwirkungsrechte an der Planung nicht gewährleistet worden. a) Der Anspruch auf rechtliches Gehör ist formeller Natur. Seine Verletzung führt ungeachtet der Erfolgsaussichten der Beschwerde in der Sache selbst zur Aufhebung des angefochtenen Entscheids ( BGE 109 Ia 5 ; BGE 106 Ia 73 /74 E. 2, je mit Hinweisen). Die entsprechenden Rügen sind deshalb vorweg zu prüfen. Der Umfang des Anspruchs auf rechtliches Gehör wird zunächst durch die kantonalen Verfahrensvorschriften umschrieben, deren Auslegung und Anwendung das Bundesgericht unter dem Gesichtswinkel der Willkür prüft. Wo sich dieser kantonale Rechtsschutz als ungenügend erweist, greifen die unmittelbar aus Art. 4 BV folgenden Verfahrensregeln zur Sicherung des rechtlichen Gehörs Platz, die dem Bürger in allen Streitsachen ein bestimmtes Mindestmass an Verteidigungsrechten gewährleisten. Ob der unmittelbar aus Art. 4 BV folgende Anspruch auf rechtliches Gehör verletzt ist, prüft das Bundesgericht frei (BGE BGE 110 Ia 85 E. 3b mit Hinweisen). b) Gemäss Art. 37 KRG ist für den Erlass und die Änderung von Zonenplänen unter Vorbehalt der Genehmigung durch die Regierung die Gemeinde zuständig. Der Gemeindevorstand hat die Stimmberechtigten vor der Abstimmung angemessen zu orientieren und den Interessierten zu ermöglichen, Wünsche und Anträge einzureichen. Orientierungs- und Eingabemöglichkeiten sind in geeigneter und ortsüblicher Weise bekanntzugeben. In Ausführung dieser Bestimmung verlangt Art. 7 des Baugesetzes der Gemeinde Y. von 1978/83, dass Erlass und Änderung von Zonenplänen während 30 Tagen öffentlich aufzulegen und Einsprachen innert dieser Frist einzureichen sind. Die Bestimmung besagt ausdrücklich, dass Zonenplanänderungen der Abstimmung in der Gemeindeversammlung unterliegen. Der Beschwerdeführer bestreitet zu Recht nicht, dass in dieser Versammlung grundsätzlich beliebige Änderungsanträge gegenüber der Vorlage der Gemeindeexekutive BGE 111 Ia 164 S. 167 gestellt werden können. Auch behauptet er nicht, dass das Verfahren in der Gemeindeversammlung vom 24. Juni 1983 abstimmungsrechtlich nicht in Ordnung gewesen sei. Aus dem Wortlaut von Art. 37 KRG lassen sich keine Anhaltspunkte für das Vorgehen in Fällen finden, in denen der Antrag auf Umzonung einer Parzelle erstmals in der Gemeindeversammlung gestellt wird. Insbesondere fehlt jeder Hinweis darauf, dass unter diesen Voraussetzungen vor der definitiven Beschlussfassung durch die Versammlung eine nochmalige Planauflage mit Einspracherecht zu erfolgen hätte, wie dies der Beschwerdeführer verlangt. Klarerweise wird aber mit Art. 37 KRG bezweckt, im Planungsverfahren das rechtliche Gehör der betroffenen Grundeigentümer zu sichern. Deshalb kann nicht schlechthin ausgeschlossen werden, dass in gewissen Fällen die definitive Beschlussfassung in der Gemeindeversammlung auszusetzen ist, um die betroffenen Grundeigentümer vorgängig über die beabsichtigte Planänderung zu informieren und individuell anzuhören. Dieses Vorgehen würde sich jedenfalls dann aufdrängen, wenn es sich bei den Betroffenen um ausserhalb der Gemeinde wohnhafte Grundeigentümer handeln würde. Andernfalls wären diese Auswärtigen des Rechts, sich vor einer Planfestsetzung zu äussern, beraubt, da sie als Nichtstimmberechtigte weder an der Gemeindeversammlung mitwirken noch auf diese Einfluss nehmen könnten. Ob in diesen Fällen kantonales oder kommunales Recht eine Wiederholung des Auflageverfahrens erfordert oder ob das rechtliche Gehör der Betroffenen, zumindest wenn es sich nur um wenige Grundeigentümer handelt, durch ein anderes geeignetes Vorgehen gewährleistet werden kann, ist nicht zu entscheiden, da im hier zu beurteilenden Fall wesentlich andere Verhältnisse vorliegen. Der Beschwerdeführer ist nämlich in der Gemeinde Y. stimmberechtigt, hat an der fraglichen Gemeindeversammlung teilgenommen und sich unbestrittenermassen in einem Diskussionsvotum mit dem aus der Mitte der Versammlung gestellten Antrag auf Zuweisung seiner Liegenschaft zur Landwirtschaftszone auseinandergesetzt. Er konnte sich damit vor der beschlussfassenden Legislative äussern und hat von diesem Recht auch tatsächlich Gebrauch gemacht. Der Beschwerdeführer wendet zwar ein, mangels Planauflage sei ihm die Möglichkeit genommen worden, "in aller Ruhe in einer schriftlichen Eingabe" zunächst dem Gemeindevorstand zuhanden der Versammlung die Gründe darzulegen, welche gegen die Auszonung seiner Parzelle sprächen. Die Regierung des Kantons BGE 111 Ia 164 S. 168 Graubünden weist aber in ihrem Entscheid, gestützt auf die Vernehmlassung der Gemeinde Y., darauf hin, dass der betreffende Umzonungsantrag in der Gemeinde allgemein erwartet wurde, da die Unzufriedenheit über die seinerzeitige Einzonung des "Holäwäg" schon vor der Gemeindeversammlung vom 24. Juni 1983 laut geworden sei. Dies konnte dem Beschwerdeführer bei den überschaubaren Verhältnissen einer kleineren Gemeinde wie Y. nicht entgangen sein, zumal er früher das Amt des Gemeindepräsidenten bekleidet hatte. Bei dieser Sachlage kann keine Rede davon sein, er habe sich "völlig unvorbereitet" mit dem Antrag in der Gemeindeversammlung auseinandersetzen müssen, wie dies X. ohne irgendwelche nähere Substantiierung erstmals vor Bundesgericht behauptet. Aufgrund dieser Erwägungen erweist sich die Auffassung der Regierung des Kantons Graubünden, es habe unter dem Gesichtswinkel von Art. 37 KRG auf eine nochmalige Planauflage verzichtet werden können, als sachlich vertretbar. c) Der Beschwerdeführer kann auch aus dem unmittelbar aus Art. 4 BV folgenden minimalen bundesrechtlichen Gehörsanspruch nichts weiteres für sich herleiten. Dieser Anspruch umfasst nach der bundesgerichtlichen Rechtsprechung das Recht des betroffenen Grundeigentümers, bei einer Änderung des kommunalen Zonenplans individuell angehört zu werden, bevor über die Zuteilung seines Grundstücks definitiv entschieden wird ( BGE 107 Ia 273 ff. mit Hinweisen). Dieses Recht war X. in der Gemeindeversammlung aber gegeben, wie oben ausgeführt wurde. d) X. versucht schliesslich, ein Recht auf Aussetzung der Abstimmung in der Gemeindeversammlung und Durchführung eines erneuten Planauflage- und Einspracheverfahrens aus den Bestimmungen von Art. 4 Abs. 1 und 2 RPG abzuleiten. Danach haben die mit Planungsaufgaben betrauten Behörden die Bevölkerung über Ziele und Ablauf der Planungen nach diesem Gesetz zu unterrichten; sie haben dafür zu sorgen, dass die Bevölkerung bei Planungen in geeigneter Weise mitwirken kann. Es handelt sich dabei um Gesetzgebungsaufträge an die Kantone und allenfalls die Gemeinden. Das bundesrechtlich geforderte Minimum besteht u.a. darin, Vorschläge entgegenzunehmen, Planentwürfe zu allgemeiner Ansichtsäusserung freizugeben und in beiden Fällen Vorschläge und Einwände materiell zu beantworten. Damit stehen diese Bestimmungen in erster Linie im Dienste der Sachaufklärung und der Mitwirkung der Bevölkerung an der Planung als politischem BGE 111 Ia 164 S. 169 Prozess. Sie bezwecken, den Planungsprozess den Anforderungen des demokratischen Rechtsstaates anzupassen. Ihre Bedeutung erhalten sie vor allem da, wo der individuelle Rechtsschutz die Beteiligungsrechte der Bevölkerung nicht zu gewährleisten vermag (vgl. EJPD/BRP, Erläuterungen zum Bundesgesetz über die Raumplanung, Bern 1981, Art. 4 N. 1-12 mit zahlreichen Hinweisen). Zwar können einzelne Modalitäten des individuellen Rechtsschutzes wie das Auflagegebot für Nutzungspläne gemäss Art. 33 Abs. 1 RPG zugleich der Sachaufklärung der Bevölkerung im Sinne von Art. 4 RPG dienen (vgl. EJPD/BRP, a.a.O., Art. 33 Abs. 1 N. 6). Der Rechtsschutz selber wird aber bundesrechtlich durch die Art. 33 und 34 RPG und den unmittelbar aus Art. 4 BV folgenden Gehörsanspruch gewährleistet. Ein darüber hinausgehender Anspruch lässt sich aus Art. 4 RPG jedenfalls für den vorliegenden Fall nicht ableiten. Die Rüge der Verletzung dieser Bestimmung erweist sich demnach ebenfalls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